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sj00lfbiwgq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spacing w:line="276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Riva del Garda Fierecongressi a bordo di “A Sea of Network”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Non solo un evento, ma un vero e proprio viaggio esperienziale che combina business, ispirazione e scoperta di destinazioni europee strategiche, con l’obiettivo di rilanciare il segmento MICE e creare nuove opportunità di crescita per gli operatori del settore.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 Fierecongressi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partecipa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“A Sea of Network”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il primo evento di networking del settore MICE organizzato a bordo di una nave, in programma fino a domenica 13 aprile. Promosso da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Mice &amp; More Events,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l’evento rappresenta una nuova frontiera nell’ambito degli appuntamenti B2B dedicati al mondo degli eventi, dei congressi e della meeting industry.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rappresentare la Società è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Marilena Ferraroni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Congress Sales Manager, impegnata a promuovere la visione di Riva del Garda Fierecongressi in tema 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eventi sostenibili, innovativi e sempre più connessi alle reali esigenze del settore.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rotta tocca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Savona, Barcellona e Marsiglia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offrendo una piattaforma dinamica per l’incontro tra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buyer e seller nazionali e internazionali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 un contesto informale ma altamente professionale. Un’occasione preziosa per stringere nuove relazioni, condividere strategie e visioni, e contribuire allo sviluppo futuro del settore MICE.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11 aprile 2025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bookmarkStart w:colFirst="0" w:colLast="0" w:name="_4m488hhldyb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